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49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(628309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Халилова Руслана Рашидовича, </w:t>
      </w:r>
      <w:r>
        <w:rPr>
          <w:rStyle w:val="cat-ExternalSystemDefinedgrp-4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являющегося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ЛТГ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и проживающего по адресу: </w:t>
      </w:r>
      <w:r>
        <w:rPr>
          <w:rStyle w:val="cat-UserDefinedgrp-4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Кодекса Российской Федерации об административных правонарушениях,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Халилов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«ЛТГ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А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Дорожная, д. 31, кв.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РФ срок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вместо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ст. 17, ст. 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Халилов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Халилова Р.Р</w:t>
      </w:r>
      <w:r>
        <w:rPr>
          <w:rFonts w:ascii="Times New Roman" w:eastAsia="Times New Roman" w:hAnsi="Times New Roman" w:cs="Times New Roman"/>
          <w:sz w:val="28"/>
          <w:szCs w:val="28"/>
        </w:rPr>
        <w:t>.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Халилова Р.Р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Халилов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РФ срок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информацией о предоставлении отчета;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Единого государственного реестра юридических лиц;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вызове должностного лица,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.2025; списком внутренних почтовых отправлений;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списком внутренних почтовых отправлений о направлении копии протокола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п.п. 1 п. 2 ст. 17 Федерального закона от 24.07.1998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125-ФЗ «Об обязательном социальном страховании от несчастных случаев на производстве и профессиональных заболеваний»,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 абзацами третьим, четвертым и пятым части первой статьи 6 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19 Федерального закона от 24.07.1998 № 125-ФЗ «Об обязательном социальном страховании от несчастных случаев на производстве и профессиональных заболеваний»,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страхователя к ответственности осуществляется страховщиком в порядке, установленном настоящим Федеральным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к административной и уголовной ответственности за нарушения требований настоящего Федерального закона осуществляется в соответствии с Кодексом Российской Федерации об административных правонарушениях и Уголовным кодексом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Халилова Р.Р</w:t>
      </w:r>
      <w:r>
        <w:rPr>
          <w:rFonts w:ascii="Times New Roman" w:eastAsia="Times New Roman" w:hAnsi="Times New Roman" w:cs="Times New Roman"/>
          <w:sz w:val="28"/>
          <w:szCs w:val="28"/>
        </w:rPr>
        <w:t>. мировой судья квалифицирует по ч. 2 ст. 15.33 Кодекса Российской Федерации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лица, 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ООО «ЛТГ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Халилова Руслана Рашидовича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уплате: Банк получателя - РКЦ Ханты-Мансийск//УФК по Ханты- Мансийскому автономному округу - Югре г. Ханты-Мансийск, БИК ТОФК – 007162163, счет получателя платежа (номер казначейского счета, Р/счет) – 03100643000000018700, Номер счета банка получателя (номер банковского счета, входящего в состав единого казначейского счета, Кор/счет) – 40102810245370000007, Получатель - УФК по Ханты-Мансийскому автономному округу - Югре (ОСФР по ХМАО - Югре, л/с 04874Ф87010), ИНН получателя – 8601002078, КПП получателя – 860101001, ОКТМО - 71871000 (по месту регистрации должника), КБК 79711601230060003140 Административные штрафы, предусмотренные ч. 2 ст. 15.10, ст. 15.32, ст. 15.33 КоАП РФ (в части обязательного социального страхования от несчастных случаев на производстве и профессиональных заболеваний). В назначении платежа указать - Денежные взыскания на обязательное социальное страхование от НС и ПЗ, предусмотренные за нарушение статьи 15.33 КоАП, ФИО, УИН 7978600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5042501357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6570"/>
        </w:tabs>
        <w:spacing w:before="0" w:after="0"/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tbl>
      <w:tblPr>
        <w:tblW w:w="1092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55"/>
        <w:gridCol w:w="5669"/>
      </w:tblGrid>
      <w:tr>
        <w:tblPrEx>
          <w:tblW w:w="1092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PassportDatagrp-36rplc-12">
    <w:name w:val="cat-PassportData grp-36 rplc-12"/>
    <w:basedOn w:val="DefaultParagraphFont"/>
  </w:style>
  <w:style w:type="character" w:customStyle="1" w:styleId="cat-ExternalSystemDefinedgrp-47rplc-13">
    <w:name w:val="cat-ExternalSystemDefined grp-47 rplc-13"/>
    <w:basedOn w:val="DefaultParagraphFont"/>
  </w:style>
  <w:style w:type="character" w:customStyle="1" w:styleId="cat-ExternalSystemDefinedgrp-45rplc-14">
    <w:name w:val="cat-ExternalSystemDefined grp-45 rplc-14"/>
    <w:basedOn w:val="DefaultParagraphFont"/>
  </w:style>
  <w:style w:type="character" w:customStyle="1" w:styleId="cat-UserDefinedgrp-49rplc-29">
    <w:name w:val="cat-UserDefined grp-49 rplc-29"/>
    <w:basedOn w:val="DefaultParagraphFont"/>
  </w:style>
  <w:style w:type="character" w:customStyle="1" w:styleId="cat-UserDefinedgrp-50rplc-53">
    <w:name w:val="cat-UserDefined grp-50 rplc-53"/>
    <w:basedOn w:val="DefaultParagraphFont"/>
  </w:style>
  <w:style w:type="character" w:customStyle="1" w:styleId="cat-UserDefinedgrp-51rplc-56">
    <w:name w:val="cat-UserDefined grp-5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